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EA7E0" w14:textId="77777777" w:rsidR="00040F6A" w:rsidRPr="00040F6A" w:rsidRDefault="00040F6A">
      <w:pPr>
        <w:rPr>
          <w:b/>
        </w:rPr>
      </w:pPr>
      <w:r w:rsidRPr="00040F6A">
        <w:rPr>
          <w:b/>
        </w:rPr>
        <w:t xml:space="preserve">PEER ASSESSMENT TEMPLATE </w:t>
      </w:r>
      <w:r>
        <w:rPr>
          <w:b/>
        </w:rPr>
        <w:t>–</w:t>
      </w:r>
      <w:r w:rsidRPr="00040F6A">
        <w:rPr>
          <w:b/>
        </w:rPr>
        <w:t xml:space="preserve"> D</w:t>
      </w:r>
      <w:r>
        <w:rPr>
          <w:b/>
        </w:rPr>
        <w:t>igital Professional Portfolio</w:t>
      </w:r>
    </w:p>
    <w:tbl>
      <w:tblPr>
        <w:tblW w:w="15299" w:type="dxa"/>
        <w:tblCellMar>
          <w:left w:w="0" w:type="dxa"/>
          <w:right w:w="0" w:type="dxa"/>
        </w:tblCellMar>
        <w:tblLook w:val="04A0" w:firstRow="1" w:lastRow="0" w:firstColumn="1" w:lastColumn="0" w:noHBand="0" w:noVBand="1"/>
      </w:tblPr>
      <w:tblGrid>
        <w:gridCol w:w="3280"/>
        <w:gridCol w:w="4006"/>
        <w:gridCol w:w="4006"/>
        <w:gridCol w:w="4007"/>
      </w:tblGrid>
      <w:tr w:rsidR="00040F6A" w:rsidRPr="00040F6A" w14:paraId="36E3ED8E" w14:textId="77777777" w:rsidTr="00040F6A">
        <w:tc>
          <w:tcPr>
            <w:tcW w:w="3280" w:type="dxa"/>
            <w:tcBorders>
              <w:top w:val="single" w:sz="8" w:space="0" w:color="CC9900"/>
              <w:left w:val="single" w:sz="8" w:space="0" w:color="CC9900"/>
              <w:bottom w:val="single" w:sz="18" w:space="0" w:color="CC9900"/>
              <w:right w:val="single" w:sz="8" w:space="0" w:color="CC9900"/>
            </w:tcBorders>
            <w:shd w:val="clear" w:color="auto" w:fill="auto"/>
            <w:tcMar>
              <w:top w:w="15" w:type="dxa"/>
              <w:left w:w="91" w:type="dxa"/>
              <w:bottom w:w="0" w:type="dxa"/>
              <w:right w:w="91" w:type="dxa"/>
            </w:tcMar>
            <w:hideMark/>
          </w:tcPr>
          <w:p w14:paraId="72CB281E" w14:textId="77777777" w:rsidR="00040F6A" w:rsidRPr="00040F6A" w:rsidRDefault="00040F6A" w:rsidP="00040F6A">
            <w:r w:rsidRPr="00040F6A">
              <w:rPr>
                <w:b/>
                <w:bCs/>
              </w:rPr>
              <w:t>My Peer…</w:t>
            </w:r>
          </w:p>
        </w:tc>
        <w:tc>
          <w:tcPr>
            <w:tcW w:w="4006" w:type="dxa"/>
            <w:tcBorders>
              <w:top w:val="single" w:sz="8" w:space="0" w:color="CC9900"/>
              <w:left w:val="single" w:sz="8" w:space="0" w:color="CC9900"/>
              <w:bottom w:val="single" w:sz="18" w:space="0" w:color="CC9900"/>
              <w:right w:val="single" w:sz="8" w:space="0" w:color="CC9900"/>
            </w:tcBorders>
            <w:shd w:val="clear" w:color="auto" w:fill="auto"/>
            <w:tcMar>
              <w:top w:w="15" w:type="dxa"/>
              <w:left w:w="91" w:type="dxa"/>
              <w:bottom w:w="0" w:type="dxa"/>
              <w:right w:w="91" w:type="dxa"/>
            </w:tcMar>
            <w:vAlign w:val="center"/>
            <w:hideMark/>
          </w:tcPr>
          <w:p w14:paraId="76CF0EBE" w14:textId="77777777" w:rsidR="00040F6A" w:rsidRPr="00040F6A" w:rsidRDefault="00040F6A" w:rsidP="00040F6A">
            <w:pPr>
              <w:jc w:val="center"/>
            </w:pPr>
            <w:r w:rsidRPr="00040F6A">
              <w:rPr>
                <w:b/>
                <w:bCs/>
              </w:rPr>
              <w:t>Unable to Assess</w:t>
            </w:r>
          </w:p>
        </w:tc>
        <w:tc>
          <w:tcPr>
            <w:tcW w:w="4006" w:type="dxa"/>
            <w:tcBorders>
              <w:top w:val="single" w:sz="8" w:space="0" w:color="CC9900"/>
              <w:left w:val="single" w:sz="8" w:space="0" w:color="CC9900"/>
              <w:bottom w:val="single" w:sz="18" w:space="0" w:color="CC9900"/>
              <w:right w:val="single" w:sz="8" w:space="0" w:color="CC9900"/>
            </w:tcBorders>
            <w:shd w:val="clear" w:color="auto" w:fill="auto"/>
            <w:tcMar>
              <w:top w:w="15" w:type="dxa"/>
              <w:left w:w="91" w:type="dxa"/>
              <w:bottom w:w="0" w:type="dxa"/>
              <w:right w:w="91" w:type="dxa"/>
            </w:tcMar>
            <w:vAlign w:val="center"/>
            <w:hideMark/>
          </w:tcPr>
          <w:p w14:paraId="00757501" w14:textId="77777777" w:rsidR="00040F6A" w:rsidRPr="00040F6A" w:rsidRDefault="00040F6A" w:rsidP="00040F6A">
            <w:pPr>
              <w:jc w:val="center"/>
            </w:pPr>
            <w:r w:rsidRPr="00040F6A">
              <w:rPr>
                <w:b/>
                <w:bCs/>
              </w:rPr>
              <w:t>Not Yet Competent</w:t>
            </w:r>
          </w:p>
        </w:tc>
        <w:tc>
          <w:tcPr>
            <w:tcW w:w="4007" w:type="dxa"/>
            <w:tcBorders>
              <w:top w:val="single" w:sz="8" w:space="0" w:color="CC9900"/>
              <w:left w:val="single" w:sz="8" w:space="0" w:color="CC9900"/>
              <w:bottom w:val="single" w:sz="18" w:space="0" w:color="CC9900"/>
              <w:right w:val="single" w:sz="8" w:space="0" w:color="CC9900"/>
            </w:tcBorders>
            <w:shd w:val="clear" w:color="auto" w:fill="auto"/>
            <w:tcMar>
              <w:top w:w="15" w:type="dxa"/>
              <w:left w:w="91" w:type="dxa"/>
              <w:bottom w:w="0" w:type="dxa"/>
              <w:right w:w="91" w:type="dxa"/>
            </w:tcMar>
            <w:vAlign w:val="center"/>
            <w:hideMark/>
          </w:tcPr>
          <w:p w14:paraId="35166315" w14:textId="77777777" w:rsidR="00040F6A" w:rsidRPr="00040F6A" w:rsidRDefault="00040F6A" w:rsidP="00040F6A">
            <w:pPr>
              <w:jc w:val="center"/>
            </w:pPr>
            <w:r w:rsidRPr="00040F6A">
              <w:rPr>
                <w:b/>
                <w:bCs/>
              </w:rPr>
              <w:t>Competent</w:t>
            </w:r>
          </w:p>
        </w:tc>
      </w:tr>
      <w:tr w:rsidR="00040F6A" w:rsidRPr="00040F6A" w14:paraId="2885737A" w14:textId="77777777" w:rsidTr="00040F6A">
        <w:trPr>
          <w:trHeight w:val="1134"/>
        </w:trPr>
        <w:tc>
          <w:tcPr>
            <w:tcW w:w="3280" w:type="dxa"/>
            <w:tcBorders>
              <w:top w:val="single" w:sz="18" w:space="0" w:color="CC9900"/>
              <w:left w:val="single" w:sz="8" w:space="0" w:color="CC9900"/>
              <w:bottom w:val="single" w:sz="8" w:space="0" w:color="CC9900"/>
              <w:right w:val="single" w:sz="8" w:space="0" w:color="CC9900"/>
            </w:tcBorders>
            <w:shd w:val="clear" w:color="auto" w:fill="F6EFE7"/>
            <w:tcMar>
              <w:top w:w="15" w:type="dxa"/>
              <w:left w:w="91" w:type="dxa"/>
              <w:bottom w:w="0" w:type="dxa"/>
              <w:right w:w="91" w:type="dxa"/>
            </w:tcMar>
            <w:vAlign w:val="center"/>
            <w:hideMark/>
          </w:tcPr>
          <w:p w14:paraId="611D2628" w14:textId="77777777" w:rsidR="00040F6A" w:rsidRPr="00040F6A" w:rsidRDefault="00040F6A" w:rsidP="00040F6A">
            <w:pPr>
              <w:spacing w:before="240" w:after="240" w:line="240" w:lineRule="auto"/>
            </w:pPr>
            <w:r w:rsidRPr="00040F6A">
              <w:t xml:space="preserve">selects high-quality artefacts that emphasise and connect to the content of the Standards.  </w:t>
            </w:r>
          </w:p>
        </w:tc>
        <w:tc>
          <w:tcPr>
            <w:tcW w:w="4006" w:type="dxa"/>
            <w:tcBorders>
              <w:top w:val="single" w:sz="18" w:space="0" w:color="CC9900"/>
              <w:left w:val="single" w:sz="8" w:space="0" w:color="CC9900"/>
              <w:bottom w:val="single" w:sz="8" w:space="0" w:color="CC9900"/>
              <w:right w:val="single" w:sz="8" w:space="0" w:color="CC9900"/>
            </w:tcBorders>
            <w:shd w:val="clear" w:color="auto" w:fill="F6EFE7"/>
            <w:tcMar>
              <w:top w:w="15" w:type="dxa"/>
              <w:left w:w="91" w:type="dxa"/>
              <w:bottom w:w="0" w:type="dxa"/>
              <w:right w:w="91" w:type="dxa"/>
            </w:tcMar>
            <w:vAlign w:val="center"/>
            <w:hideMark/>
          </w:tcPr>
          <w:p w14:paraId="364DAC4A" w14:textId="77777777" w:rsidR="00040F6A" w:rsidRPr="00040F6A" w:rsidRDefault="00040F6A" w:rsidP="00040F6A">
            <w:pPr>
              <w:jc w:val="center"/>
            </w:pPr>
          </w:p>
        </w:tc>
        <w:tc>
          <w:tcPr>
            <w:tcW w:w="4006" w:type="dxa"/>
            <w:tcBorders>
              <w:top w:val="single" w:sz="18" w:space="0" w:color="CC9900"/>
              <w:left w:val="single" w:sz="8" w:space="0" w:color="CC9900"/>
              <w:bottom w:val="single" w:sz="8" w:space="0" w:color="CC9900"/>
              <w:right w:val="single" w:sz="8" w:space="0" w:color="CC9900"/>
            </w:tcBorders>
            <w:shd w:val="clear" w:color="auto" w:fill="F6EFE7"/>
            <w:tcMar>
              <w:top w:w="15" w:type="dxa"/>
              <w:left w:w="91" w:type="dxa"/>
              <w:bottom w:w="0" w:type="dxa"/>
              <w:right w:w="91" w:type="dxa"/>
            </w:tcMar>
            <w:vAlign w:val="center"/>
            <w:hideMark/>
          </w:tcPr>
          <w:p w14:paraId="5CD771F7" w14:textId="77777777" w:rsidR="00040F6A" w:rsidRPr="00040F6A" w:rsidRDefault="00040F6A" w:rsidP="00040F6A">
            <w:pPr>
              <w:jc w:val="center"/>
            </w:pPr>
          </w:p>
        </w:tc>
        <w:tc>
          <w:tcPr>
            <w:tcW w:w="4007" w:type="dxa"/>
            <w:tcBorders>
              <w:top w:val="single" w:sz="18" w:space="0" w:color="CC9900"/>
              <w:left w:val="single" w:sz="8" w:space="0" w:color="CC9900"/>
              <w:bottom w:val="single" w:sz="8" w:space="0" w:color="CC9900"/>
              <w:right w:val="single" w:sz="8" w:space="0" w:color="CC9900"/>
            </w:tcBorders>
            <w:shd w:val="clear" w:color="auto" w:fill="F6EFE7"/>
            <w:tcMar>
              <w:top w:w="15" w:type="dxa"/>
              <w:left w:w="91" w:type="dxa"/>
              <w:bottom w:w="0" w:type="dxa"/>
              <w:right w:w="91" w:type="dxa"/>
            </w:tcMar>
            <w:vAlign w:val="center"/>
            <w:hideMark/>
          </w:tcPr>
          <w:p w14:paraId="503BFDD3" w14:textId="37E0C6FA" w:rsidR="004608CB" w:rsidRPr="00040F6A" w:rsidRDefault="004608CB" w:rsidP="00040F6A">
            <w:pPr>
              <w:jc w:val="center"/>
            </w:pPr>
            <w:r>
              <w:t xml:space="preserve">I thought </w:t>
            </w:r>
            <w:r w:rsidR="004C27F3">
              <w:t>this artefact</w:t>
            </w:r>
            <w:r>
              <w:t xml:space="preserve"> w</w:t>
            </w:r>
            <w:r w:rsidR="004C27F3">
              <w:t>as</w:t>
            </w:r>
            <w:r>
              <w:t xml:space="preserve"> explained in great detail and I could clearly see how </w:t>
            </w:r>
            <w:r w:rsidR="004C27F3">
              <w:t xml:space="preserve">it </w:t>
            </w:r>
            <w:r>
              <w:t>connect</w:t>
            </w:r>
            <w:r w:rsidR="004C27F3">
              <w:t>s</w:t>
            </w:r>
            <w:r>
              <w:t xml:space="preserve"> to the standards. </w:t>
            </w:r>
            <w:r w:rsidR="004C27F3">
              <w:t>You have explained the artefact well and I like how you have the coloured pictures to break down what is discussed.</w:t>
            </w:r>
          </w:p>
        </w:tc>
      </w:tr>
      <w:tr w:rsidR="00040F6A" w:rsidRPr="00040F6A" w14:paraId="75F27832" w14:textId="77777777" w:rsidTr="00040F6A">
        <w:trPr>
          <w:trHeight w:val="1455"/>
        </w:trPr>
        <w:tc>
          <w:tcPr>
            <w:tcW w:w="3280" w:type="dxa"/>
            <w:tcBorders>
              <w:top w:val="single" w:sz="8" w:space="0" w:color="CC9900"/>
              <w:left w:val="single" w:sz="8" w:space="0" w:color="CC9900"/>
              <w:bottom w:val="single" w:sz="8" w:space="0" w:color="CC9900"/>
              <w:right w:val="single" w:sz="8" w:space="0" w:color="CC9900"/>
            </w:tcBorders>
            <w:shd w:val="clear" w:color="auto" w:fill="auto"/>
            <w:tcMar>
              <w:top w:w="15" w:type="dxa"/>
              <w:left w:w="91" w:type="dxa"/>
              <w:bottom w:w="0" w:type="dxa"/>
              <w:right w:w="91" w:type="dxa"/>
            </w:tcMar>
            <w:vAlign w:val="center"/>
            <w:hideMark/>
          </w:tcPr>
          <w:p w14:paraId="22ABD169" w14:textId="77777777" w:rsidR="00040F6A" w:rsidRPr="00040F6A" w:rsidRDefault="00040F6A" w:rsidP="00040F6A">
            <w:pPr>
              <w:spacing w:before="240" w:after="240" w:line="240" w:lineRule="auto"/>
            </w:pPr>
            <w:r w:rsidRPr="00040F6A">
              <w:t>relates artefacts to the Australian Professional Standards with accuracy and impact.</w:t>
            </w:r>
          </w:p>
        </w:tc>
        <w:tc>
          <w:tcPr>
            <w:tcW w:w="4006" w:type="dxa"/>
            <w:tcBorders>
              <w:top w:val="single" w:sz="8" w:space="0" w:color="CC9900"/>
              <w:left w:val="single" w:sz="8" w:space="0" w:color="CC9900"/>
              <w:bottom w:val="single" w:sz="8" w:space="0" w:color="CC9900"/>
              <w:right w:val="single" w:sz="8" w:space="0" w:color="CC9900"/>
            </w:tcBorders>
            <w:shd w:val="clear" w:color="auto" w:fill="auto"/>
            <w:tcMar>
              <w:top w:w="15" w:type="dxa"/>
              <w:left w:w="91" w:type="dxa"/>
              <w:bottom w:w="0" w:type="dxa"/>
              <w:right w:w="91" w:type="dxa"/>
            </w:tcMar>
            <w:vAlign w:val="center"/>
            <w:hideMark/>
          </w:tcPr>
          <w:p w14:paraId="348D6490" w14:textId="77777777" w:rsidR="00040F6A" w:rsidRPr="00040F6A" w:rsidRDefault="00040F6A" w:rsidP="00040F6A">
            <w:pPr>
              <w:jc w:val="center"/>
            </w:pPr>
          </w:p>
        </w:tc>
        <w:tc>
          <w:tcPr>
            <w:tcW w:w="4006" w:type="dxa"/>
            <w:tcBorders>
              <w:top w:val="single" w:sz="8" w:space="0" w:color="CC9900"/>
              <w:left w:val="single" w:sz="8" w:space="0" w:color="CC9900"/>
              <w:bottom w:val="single" w:sz="8" w:space="0" w:color="CC9900"/>
              <w:right w:val="single" w:sz="8" w:space="0" w:color="CC9900"/>
            </w:tcBorders>
            <w:shd w:val="clear" w:color="auto" w:fill="auto"/>
            <w:tcMar>
              <w:top w:w="15" w:type="dxa"/>
              <w:left w:w="91" w:type="dxa"/>
              <w:bottom w:w="0" w:type="dxa"/>
              <w:right w:w="91" w:type="dxa"/>
            </w:tcMar>
            <w:vAlign w:val="center"/>
            <w:hideMark/>
          </w:tcPr>
          <w:p w14:paraId="2F57C3BA" w14:textId="77777777" w:rsidR="00040F6A" w:rsidRPr="00040F6A" w:rsidRDefault="00040F6A" w:rsidP="00040F6A">
            <w:pPr>
              <w:jc w:val="center"/>
            </w:pPr>
          </w:p>
        </w:tc>
        <w:tc>
          <w:tcPr>
            <w:tcW w:w="4007" w:type="dxa"/>
            <w:tcBorders>
              <w:top w:val="single" w:sz="8" w:space="0" w:color="CC9900"/>
              <w:left w:val="single" w:sz="8" w:space="0" w:color="CC9900"/>
              <w:bottom w:val="single" w:sz="8" w:space="0" w:color="CC9900"/>
              <w:right w:val="single" w:sz="8" w:space="0" w:color="CC9900"/>
            </w:tcBorders>
            <w:shd w:val="clear" w:color="auto" w:fill="auto"/>
            <w:tcMar>
              <w:top w:w="15" w:type="dxa"/>
              <w:left w:w="91" w:type="dxa"/>
              <w:bottom w:w="0" w:type="dxa"/>
              <w:right w:w="91" w:type="dxa"/>
            </w:tcMar>
            <w:vAlign w:val="center"/>
            <w:hideMark/>
          </w:tcPr>
          <w:p w14:paraId="54FC811F" w14:textId="192DFCF5" w:rsidR="00040F6A" w:rsidRPr="00040F6A" w:rsidRDefault="004608CB" w:rsidP="00040F6A">
            <w:pPr>
              <w:jc w:val="center"/>
            </w:pPr>
            <w:r>
              <w:t xml:space="preserve">I could see how you related </w:t>
            </w:r>
            <w:r w:rsidR="004C27F3">
              <w:t>your artefact</w:t>
            </w:r>
            <w:r>
              <w:t xml:space="preserve"> to the Australian Professional Standards. </w:t>
            </w:r>
            <w:r w:rsidR="004C27F3">
              <w:t>You have specifically stated how to manage behaviour by using the inductive approach, and you have linked it to the cognitive behavioural theory.</w:t>
            </w:r>
          </w:p>
        </w:tc>
      </w:tr>
      <w:tr w:rsidR="00040F6A" w:rsidRPr="00040F6A" w14:paraId="3D690D16" w14:textId="77777777" w:rsidTr="00040F6A">
        <w:trPr>
          <w:trHeight w:val="1455"/>
        </w:trPr>
        <w:tc>
          <w:tcPr>
            <w:tcW w:w="3280" w:type="dxa"/>
            <w:tcBorders>
              <w:top w:val="single" w:sz="8" w:space="0" w:color="CC9900"/>
              <w:left w:val="single" w:sz="8" w:space="0" w:color="CC9900"/>
              <w:bottom w:val="single" w:sz="8" w:space="0" w:color="CC9900"/>
              <w:right w:val="single" w:sz="8" w:space="0" w:color="CC9900"/>
            </w:tcBorders>
            <w:shd w:val="clear" w:color="auto" w:fill="F6EFE7"/>
            <w:tcMar>
              <w:top w:w="15" w:type="dxa"/>
              <w:left w:w="91" w:type="dxa"/>
              <w:bottom w:w="0" w:type="dxa"/>
              <w:right w:w="91" w:type="dxa"/>
            </w:tcMar>
            <w:vAlign w:val="center"/>
            <w:hideMark/>
          </w:tcPr>
          <w:p w14:paraId="71FA129E" w14:textId="77777777" w:rsidR="00040F6A" w:rsidRPr="00040F6A" w:rsidRDefault="00040F6A" w:rsidP="00040F6A">
            <w:pPr>
              <w:spacing w:before="240" w:after="240" w:line="240" w:lineRule="auto"/>
            </w:pPr>
            <w:r w:rsidRPr="00040F6A">
              <w:t>reflects on their own knowledge, practice and engagement with insight and with understanding of teaching.</w:t>
            </w:r>
          </w:p>
        </w:tc>
        <w:tc>
          <w:tcPr>
            <w:tcW w:w="4006" w:type="dxa"/>
            <w:tcBorders>
              <w:top w:val="single" w:sz="8" w:space="0" w:color="CC9900"/>
              <w:left w:val="single" w:sz="8" w:space="0" w:color="CC9900"/>
              <w:bottom w:val="single" w:sz="8" w:space="0" w:color="CC9900"/>
              <w:right w:val="single" w:sz="8" w:space="0" w:color="CC9900"/>
            </w:tcBorders>
            <w:shd w:val="clear" w:color="auto" w:fill="F6EFE7"/>
            <w:tcMar>
              <w:top w:w="15" w:type="dxa"/>
              <w:left w:w="91" w:type="dxa"/>
              <w:bottom w:w="0" w:type="dxa"/>
              <w:right w:w="91" w:type="dxa"/>
            </w:tcMar>
            <w:vAlign w:val="center"/>
            <w:hideMark/>
          </w:tcPr>
          <w:p w14:paraId="21A92C5D" w14:textId="77777777" w:rsidR="00040F6A" w:rsidRPr="00040F6A" w:rsidRDefault="00040F6A" w:rsidP="00040F6A">
            <w:pPr>
              <w:jc w:val="center"/>
            </w:pPr>
          </w:p>
        </w:tc>
        <w:tc>
          <w:tcPr>
            <w:tcW w:w="4006" w:type="dxa"/>
            <w:tcBorders>
              <w:top w:val="single" w:sz="8" w:space="0" w:color="CC9900"/>
              <w:left w:val="single" w:sz="8" w:space="0" w:color="CC9900"/>
              <w:bottom w:val="single" w:sz="8" w:space="0" w:color="CC9900"/>
              <w:right w:val="single" w:sz="8" w:space="0" w:color="CC9900"/>
            </w:tcBorders>
            <w:shd w:val="clear" w:color="auto" w:fill="F6EFE7"/>
            <w:tcMar>
              <w:top w:w="15" w:type="dxa"/>
              <w:left w:w="91" w:type="dxa"/>
              <w:bottom w:w="0" w:type="dxa"/>
              <w:right w:w="91" w:type="dxa"/>
            </w:tcMar>
            <w:vAlign w:val="center"/>
            <w:hideMark/>
          </w:tcPr>
          <w:p w14:paraId="7217B417" w14:textId="77777777" w:rsidR="00040F6A" w:rsidRPr="00040F6A" w:rsidRDefault="00040F6A" w:rsidP="00040F6A">
            <w:pPr>
              <w:jc w:val="center"/>
            </w:pPr>
          </w:p>
        </w:tc>
        <w:tc>
          <w:tcPr>
            <w:tcW w:w="4007" w:type="dxa"/>
            <w:tcBorders>
              <w:top w:val="single" w:sz="8" w:space="0" w:color="CC9900"/>
              <w:left w:val="single" w:sz="8" w:space="0" w:color="CC9900"/>
              <w:bottom w:val="single" w:sz="8" w:space="0" w:color="CC9900"/>
              <w:right w:val="single" w:sz="8" w:space="0" w:color="CC9900"/>
            </w:tcBorders>
            <w:shd w:val="clear" w:color="auto" w:fill="F6EFE7"/>
            <w:tcMar>
              <w:top w:w="15" w:type="dxa"/>
              <w:left w:w="91" w:type="dxa"/>
              <w:bottom w:w="0" w:type="dxa"/>
              <w:right w:w="91" w:type="dxa"/>
            </w:tcMar>
            <w:vAlign w:val="center"/>
            <w:hideMark/>
          </w:tcPr>
          <w:p w14:paraId="1264BB10" w14:textId="6A7B767A" w:rsidR="00040F6A" w:rsidRPr="00040F6A" w:rsidRDefault="004C27F3" w:rsidP="004608CB">
            <w:pPr>
              <w:jc w:val="center"/>
            </w:pPr>
            <w:r>
              <w:t>I like how you have displayed your knowledge by explaining how the approach links to diverse backgrounds.</w:t>
            </w:r>
          </w:p>
        </w:tc>
      </w:tr>
      <w:tr w:rsidR="00040F6A" w:rsidRPr="00040F6A" w14:paraId="62FE2BD2" w14:textId="77777777" w:rsidTr="00040F6A">
        <w:trPr>
          <w:trHeight w:val="1455"/>
        </w:trPr>
        <w:tc>
          <w:tcPr>
            <w:tcW w:w="3280" w:type="dxa"/>
            <w:tcBorders>
              <w:top w:val="single" w:sz="8" w:space="0" w:color="CC9900"/>
              <w:left w:val="single" w:sz="8" w:space="0" w:color="CC9900"/>
              <w:bottom w:val="single" w:sz="8" w:space="0" w:color="CC9900"/>
              <w:right w:val="single" w:sz="8" w:space="0" w:color="CC9900"/>
            </w:tcBorders>
            <w:shd w:val="clear" w:color="auto" w:fill="auto"/>
            <w:tcMar>
              <w:top w:w="15" w:type="dxa"/>
              <w:left w:w="91" w:type="dxa"/>
              <w:bottom w:w="0" w:type="dxa"/>
              <w:right w:w="91" w:type="dxa"/>
            </w:tcMar>
            <w:vAlign w:val="center"/>
            <w:hideMark/>
          </w:tcPr>
          <w:p w14:paraId="0227C848" w14:textId="77777777" w:rsidR="00040F6A" w:rsidRPr="00040F6A" w:rsidRDefault="00040F6A" w:rsidP="00040F6A">
            <w:pPr>
              <w:spacing w:before="240" w:after="240" w:line="240" w:lineRule="auto"/>
            </w:pPr>
            <w:r w:rsidRPr="00040F6A">
              <w:t xml:space="preserve">has organised and presented their DPP professionally, logically and effectively.  </w:t>
            </w:r>
          </w:p>
        </w:tc>
        <w:tc>
          <w:tcPr>
            <w:tcW w:w="4006" w:type="dxa"/>
            <w:tcBorders>
              <w:top w:val="single" w:sz="8" w:space="0" w:color="CC9900"/>
              <w:left w:val="single" w:sz="8" w:space="0" w:color="CC9900"/>
              <w:bottom w:val="single" w:sz="8" w:space="0" w:color="CC9900"/>
              <w:right w:val="single" w:sz="8" w:space="0" w:color="CC9900"/>
            </w:tcBorders>
            <w:shd w:val="clear" w:color="auto" w:fill="auto"/>
            <w:tcMar>
              <w:top w:w="15" w:type="dxa"/>
              <w:left w:w="91" w:type="dxa"/>
              <w:bottom w:w="0" w:type="dxa"/>
              <w:right w:w="91" w:type="dxa"/>
            </w:tcMar>
            <w:vAlign w:val="center"/>
            <w:hideMark/>
          </w:tcPr>
          <w:p w14:paraId="4B3B29FA" w14:textId="77777777" w:rsidR="00040F6A" w:rsidRPr="00040F6A" w:rsidRDefault="00040F6A" w:rsidP="00040F6A">
            <w:pPr>
              <w:jc w:val="center"/>
            </w:pPr>
          </w:p>
        </w:tc>
        <w:tc>
          <w:tcPr>
            <w:tcW w:w="4006" w:type="dxa"/>
            <w:tcBorders>
              <w:top w:val="single" w:sz="8" w:space="0" w:color="CC9900"/>
              <w:left w:val="single" w:sz="8" w:space="0" w:color="CC9900"/>
              <w:bottom w:val="single" w:sz="8" w:space="0" w:color="CC9900"/>
              <w:right w:val="single" w:sz="8" w:space="0" w:color="CC9900"/>
            </w:tcBorders>
            <w:shd w:val="clear" w:color="auto" w:fill="auto"/>
            <w:tcMar>
              <w:top w:w="15" w:type="dxa"/>
              <w:left w:w="91" w:type="dxa"/>
              <w:bottom w:w="0" w:type="dxa"/>
              <w:right w:w="91" w:type="dxa"/>
            </w:tcMar>
            <w:vAlign w:val="center"/>
            <w:hideMark/>
          </w:tcPr>
          <w:p w14:paraId="37C64207" w14:textId="77777777" w:rsidR="00040F6A" w:rsidRPr="00040F6A" w:rsidRDefault="00040F6A" w:rsidP="00040F6A">
            <w:pPr>
              <w:jc w:val="center"/>
            </w:pPr>
          </w:p>
        </w:tc>
        <w:tc>
          <w:tcPr>
            <w:tcW w:w="4007" w:type="dxa"/>
            <w:tcBorders>
              <w:top w:val="single" w:sz="8" w:space="0" w:color="CC9900"/>
              <w:left w:val="single" w:sz="8" w:space="0" w:color="CC9900"/>
              <w:bottom w:val="single" w:sz="8" w:space="0" w:color="CC9900"/>
              <w:right w:val="single" w:sz="8" w:space="0" w:color="CC9900"/>
            </w:tcBorders>
            <w:shd w:val="clear" w:color="auto" w:fill="auto"/>
            <w:tcMar>
              <w:top w:w="15" w:type="dxa"/>
              <w:left w:w="91" w:type="dxa"/>
              <w:bottom w:w="0" w:type="dxa"/>
              <w:right w:w="91" w:type="dxa"/>
            </w:tcMar>
            <w:vAlign w:val="center"/>
            <w:hideMark/>
          </w:tcPr>
          <w:p w14:paraId="4BDFC7BB" w14:textId="66CE7603" w:rsidR="00040F6A" w:rsidRPr="00040F6A" w:rsidRDefault="004C27F3" w:rsidP="004C27F3">
            <w:pPr>
              <w:jc w:val="center"/>
            </w:pPr>
            <w:r>
              <w:t xml:space="preserve">Your presentation is nice and not too busy. My only suggestion would be to make your artefact box larger so readers don’t need to zoom in quite so much to read it. </w:t>
            </w:r>
          </w:p>
        </w:tc>
      </w:tr>
      <w:tr w:rsidR="00040F6A" w:rsidRPr="00040F6A" w14:paraId="783E9EFF" w14:textId="77777777" w:rsidTr="00040F6A">
        <w:trPr>
          <w:trHeight w:val="1455"/>
        </w:trPr>
        <w:tc>
          <w:tcPr>
            <w:tcW w:w="3280" w:type="dxa"/>
            <w:tcBorders>
              <w:top w:val="single" w:sz="8" w:space="0" w:color="CC9900"/>
              <w:left w:val="single" w:sz="8" w:space="0" w:color="CC9900"/>
              <w:bottom w:val="single" w:sz="8" w:space="0" w:color="CC9900"/>
              <w:right w:val="single" w:sz="8" w:space="0" w:color="CC9900"/>
            </w:tcBorders>
            <w:shd w:val="clear" w:color="auto" w:fill="F6EFE7"/>
            <w:tcMar>
              <w:top w:w="15" w:type="dxa"/>
              <w:left w:w="91" w:type="dxa"/>
              <w:bottom w:w="0" w:type="dxa"/>
              <w:right w:w="91" w:type="dxa"/>
            </w:tcMar>
            <w:vAlign w:val="center"/>
            <w:hideMark/>
          </w:tcPr>
          <w:p w14:paraId="4BE3FDCA" w14:textId="77777777" w:rsidR="00040F6A" w:rsidRPr="00040F6A" w:rsidRDefault="00040F6A" w:rsidP="00040F6A">
            <w:pPr>
              <w:spacing w:before="240" w:after="240" w:line="240" w:lineRule="auto"/>
            </w:pPr>
            <w:r w:rsidRPr="00040F6A">
              <w:t xml:space="preserve">communicates important information about their current development and future plans. </w:t>
            </w:r>
          </w:p>
        </w:tc>
        <w:tc>
          <w:tcPr>
            <w:tcW w:w="4006" w:type="dxa"/>
            <w:tcBorders>
              <w:top w:val="single" w:sz="8" w:space="0" w:color="CC9900"/>
              <w:left w:val="single" w:sz="8" w:space="0" w:color="CC9900"/>
              <w:bottom w:val="single" w:sz="8" w:space="0" w:color="CC9900"/>
              <w:right w:val="single" w:sz="8" w:space="0" w:color="CC9900"/>
            </w:tcBorders>
            <w:shd w:val="clear" w:color="auto" w:fill="F6EFE7"/>
            <w:tcMar>
              <w:top w:w="15" w:type="dxa"/>
              <w:left w:w="91" w:type="dxa"/>
              <w:bottom w:w="0" w:type="dxa"/>
              <w:right w:w="91" w:type="dxa"/>
            </w:tcMar>
            <w:vAlign w:val="center"/>
            <w:hideMark/>
          </w:tcPr>
          <w:p w14:paraId="048C1ACF" w14:textId="77777777" w:rsidR="00040F6A" w:rsidRPr="00040F6A" w:rsidRDefault="00040F6A" w:rsidP="00040F6A">
            <w:pPr>
              <w:jc w:val="center"/>
            </w:pPr>
          </w:p>
        </w:tc>
        <w:tc>
          <w:tcPr>
            <w:tcW w:w="4006" w:type="dxa"/>
            <w:tcBorders>
              <w:top w:val="single" w:sz="8" w:space="0" w:color="CC9900"/>
              <w:left w:val="single" w:sz="8" w:space="0" w:color="CC9900"/>
              <w:bottom w:val="single" w:sz="8" w:space="0" w:color="CC9900"/>
              <w:right w:val="single" w:sz="8" w:space="0" w:color="CC9900"/>
            </w:tcBorders>
            <w:shd w:val="clear" w:color="auto" w:fill="F6EFE7"/>
            <w:tcMar>
              <w:top w:w="15" w:type="dxa"/>
              <w:left w:w="91" w:type="dxa"/>
              <w:bottom w:w="0" w:type="dxa"/>
              <w:right w:w="91" w:type="dxa"/>
            </w:tcMar>
            <w:vAlign w:val="center"/>
            <w:hideMark/>
          </w:tcPr>
          <w:p w14:paraId="0DED244F" w14:textId="77777777" w:rsidR="00040F6A" w:rsidRPr="00040F6A" w:rsidRDefault="00040F6A" w:rsidP="00040F6A">
            <w:pPr>
              <w:jc w:val="center"/>
            </w:pPr>
          </w:p>
        </w:tc>
        <w:tc>
          <w:tcPr>
            <w:tcW w:w="4007" w:type="dxa"/>
            <w:tcBorders>
              <w:top w:val="single" w:sz="8" w:space="0" w:color="CC9900"/>
              <w:left w:val="single" w:sz="8" w:space="0" w:color="CC9900"/>
              <w:bottom w:val="single" w:sz="8" w:space="0" w:color="CC9900"/>
              <w:right w:val="single" w:sz="8" w:space="0" w:color="CC9900"/>
            </w:tcBorders>
            <w:shd w:val="clear" w:color="auto" w:fill="F6EFE7"/>
            <w:tcMar>
              <w:top w:w="15" w:type="dxa"/>
              <w:left w:w="91" w:type="dxa"/>
              <w:bottom w:w="0" w:type="dxa"/>
              <w:right w:w="91" w:type="dxa"/>
            </w:tcMar>
            <w:vAlign w:val="center"/>
            <w:hideMark/>
          </w:tcPr>
          <w:p w14:paraId="5D96AB83" w14:textId="4EDBC93B" w:rsidR="00040F6A" w:rsidRPr="00040F6A" w:rsidRDefault="004665E4" w:rsidP="00040F6A">
            <w:pPr>
              <w:jc w:val="center"/>
            </w:pPr>
            <w:r>
              <w:t xml:space="preserve">It would be good to see a small reflection at the end by using Rolfe’s Reflective model, specifically ‘what next.’ </w:t>
            </w:r>
          </w:p>
        </w:tc>
      </w:tr>
    </w:tbl>
    <w:p w14:paraId="156697BF" w14:textId="3A091D18" w:rsidR="00CF2267" w:rsidRDefault="00CF2267"/>
    <w:p w14:paraId="0AAE00A8" w14:textId="27C01B19" w:rsidR="009D07A9" w:rsidRDefault="009D07A9"/>
    <w:sectPr w:rsidR="009D07A9" w:rsidSect="00040F6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F6A"/>
    <w:rsid w:val="00040F6A"/>
    <w:rsid w:val="004608CB"/>
    <w:rsid w:val="004665E4"/>
    <w:rsid w:val="004C27F3"/>
    <w:rsid w:val="00517DAC"/>
    <w:rsid w:val="009D07A9"/>
    <w:rsid w:val="00CF2267"/>
    <w:rsid w:val="00D876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DAB5"/>
  <w15:chartTrackingRefBased/>
  <w15:docId w15:val="{1966A9B2-60E5-4BCD-BD0C-E5D01D12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93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1ABFB25EE934439F574BC264F0B8E6" ma:contentTypeVersion="13" ma:contentTypeDescription="Create a new document." ma:contentTypeScope="" ma:versionID="5425bef6769ec0ea76842aa83959854b">
  <xsd:schema xmlns:xsd="http://www.w3.org/2001/XMLSchema" xmlns:xs="http://www.w3.org/2001/XMLSchema" xmlns:p="http://schemas.microsoft.com/office/2006/metadata/properties" xmlns:ns3="5053a65b-a790-45aa-b23d-3e4902a85933" xmlns:ns4="6b707ee7-774c-4141-8c69-3f50efb0eaa0" targetNamespace="http://schemas.microsoft.com/office/2006/metadata/properties" ma:root="true" ma:fieldsID="c01b032c71c14dd849dfa37e2101d752" ns3:_="" ns4:_="">
    <xsd:import namespace="5053a65b-a790-45aa-b23d-3e4902a85933"/>
    <xsd:import namespace="6b707ee7-774c-4141-8c69-3f50efb0ea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3a65b-a790-45aa-b23d-3e4902a85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707ee7-774c-4141-8c69-3f50efb0ea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4988E-4E52-4F1F-BEBB-33542E9C6B9C}">
  <ds:schemaRefs>
    <ds:schemaRef ds:uri="http://schemas.microsoft.com/sharepoint/v3/contenttype/forms"/>
  </ds:schemaRefs>
</ds:datastoreItem>
</file>

<file path=customXml/itemProps2.xml><?xml version="1.0" encoding="utf-8"?>
<ds:datastoreItem xmlns:ds="http://schemas.openxmlformats.org/officeDocument/2006/customXml" ds:itemID="{5460974D-4F22-4931-A98E-7FF5990125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D40F3F-6316-4A83-BAA1-1AA73B3F6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3a65b-a790-45aa-b23d-3e4902a85933"/>
    <ds:schemaRef ds:uri="6b707ee7-774c-4141-8c69-3f50efb0e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Morrison</dc:creator>
  <cp:keywords/>
  <dc:description/>
  <cp:lastModifiedBy>Casey Wiggins</cp:lastModifiedBy>
  <cp:revision>3</cp:revision>
  <dcterms:created xsi:type="dcterms:W3CDTF">2021-03-14T04:29:00Z</dcterms:created>
  <dcterms:modified xsi:type="dcterms:W3CDTF">2021-03-14T04:41:00Z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0x010100CD1ABFB25EE934439F574BC264F0B8E6</vt:lpwstr>
  </property>
</Properties>
</file>