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38EA7E0" w14:textId="77777777" w:rsidR="00040F6A" w:rsidRPr="00040F6A" w:rsidRDefault="00040F6A">
      <w:pPr>
        <w:rPr>
          <w:b/>
        </w:rPr>
      </w:pPr>
      <w:r w:rsidRPr="00040F6A">
        <w:rPr>
          <w:b/>
        </w:rPr>
        <w:t xml:space="preserve">PEER ASSESSMENT TEMPLATE </w:t>
      </w:r>
      <w:r>
        <w:rPr>
          <w:b/>
        </w:rPr>
        <w:t>–</w:t>
      </w:r>
      <w:r w:rsidRPr="00040F6A">
        <w:rPr>
          <w:b/>
        </w:rPr>
        <w:t xml:space="preserve"> D</w:t>
      </w:r>
      <w:r>
        <w:rPr>
          <w:b/>
        </w:rPr>
        <w:t>igital Professional Portfolio</w:t>
      </w:r>
    </w:p>
    <w:tbl>
      <w:tblPr>
        <w:tblW w:w="1529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80"/>
        <w:gridCol w:w="4006"/>
        <w:gridCol w:w="4006"/>
        <w:gridCol w:w="4007"/>
      </w:tblGrid>
      <w:tr w:rsidR="00040F6A" w:rsidRPr="00040F6A" w14:paraId="36E3ED8E" w14:textId="77777777" w:rsidTr="00040F6A">
        <w:tc>
          <w:tcPr>
            <w:tcW w:w="3280" w:type="dxa"/>
            <w:tcBorders>
              <w:top w:val="single" w:sz="8" w:space="0" w:color="CC9900"/>
              <w:left w:val="single" w:sz="8" w:space="0" w:color="CC9900"/>
              <w:bottom w:val="single" w:sz="18" w:space="0" w:color="CC9900"/>
              <w:right w:val="single" w:sz="8" w:space="0" w:color="CC9900"/>
            </w:tcBorders>
            <w:shd w:val="clear" w:color="auto" w:fill="auto"/>
            <w:tcMar>
              <w:top w:w="15" w:type="dxa"/>
              <w:left w:w="91" w:type="dxa"/>
              <w:bottom w:w="0" w:type="dxa"/>
              <w:right w:w="91" w:type="dxa"/>
            </w:tcMar>
            <w:hideMark/>
          </w:tcPr>
          <w:p w14:paraId="72CB281E" w14:textId="77777777" w:rsidR="00040F6A" w:rsidRPr="00040F6A" w:rsidRDefault="00040F6A" w:rsidP="00040F6A">
            <w:r w:rsidRPr="00040F6A">
              <w:rPr>
                <w:b/>
                <w:bCs/>
              </w:rPr>
              <w:t>My Peer…</w:t>
            </w:r>
          </w:p>
        </w:tc>
        <w:tc>
          <w:tcPr>
            <w:tcW w:w="4006" w:type="dxa"/>
            <w:tcBorders>
              <w:top w:val="single" w:sz="8" w:space="0" w:color="CC9900"/>
              <w:left w:val="single" w:sz="8" w:space="0" w:color="CC9900"/>
              <w:bottom w:val="single" w:sz="18" w:space="0" w:color="CC9900"/>
              <w:right w:val="single" w:sz="8" w:space="0" w:color="CC9900"/>
            </w:tcBorders>
            <w:shd w:val="clear" w:color="auto" w:fill="auto"/>
            <w:tcMar>
              <w:top w:w="15" w:type="dxa"/>
              <w:left w:w="91" w:type="dxa"/>
              <w:bottom w:w="0" w:type="dxa"/>
              <w:right w:w="91" w:type="dxa"/>
            </w:tcMar>
            <w:vAlign w:val="center"/>
            <w:hideMark/>
          </w:tcPr>
          <w:p w14:paraId="76CF0EBE" w14:textId="77777777" w:rsidR="00040F6A" w:rsidRPr="00040F6A" w:rsidRDefault="00040F6A" w:rsidP="00040F6A">
            <w:pPr>
              <w:jc w:val="center"/>
            </w:pPr>
            <w:r w:rsidRPr="00040F6A">
              <w:rPr>
                <w:b/>
                <w:bCs/>
              </w:rPr>
              <w:t>Unable to Assess</w:t>
            </w:r>
          </w:p>
        </w:tc>
        <w:tc>
          <w:tcPr>
            <w:tcW w:w="4006" w:type="dxa"/>
            <w:tcBorders>
              <w:top w:val="single" w:sz="8" w:space="0" w:color="CC9900"/>
              <w:left w:val="single" w:sz="8" w:space="0" w:color="CC9900"/>
              <w:bottom w:val="single" w:sz="18" w:space="0" w:color="CC9900"/>
              <w:right w:val="single" w:sz="8" w:space="0" w:color="CC9900"/>
            </w:tcBorders>
            <w:shd w:val="clear" w:color="auto" w:fill="auto"/>
            <w:tcMar>
              <w:top w:w="15" w:type="dxa"/>
              <w:left w:w="91" w:type="dxa"/>
              <w:bottom w:w="0" w:type="dxa"/>
              <w:right w:w="91" w:type="dxa"/>
            </w:tcMar>
            <w:vAlign w:val="center"/>
            <w:hideMark/>
          </w:tcPr>
          <w:p w14:paraId="00757501" w14:textId="77777777" w:rsidR="00040F6A" w:rsidRPr="00040F6A" w:rsidRDefault="00040F6A" w:rsidP="00040F6A">
            <w:pPr>
              <w:jc w:val="center"/>
            </w:pPr>
            <w:r w:rsidRPr="00040F6A">
              <w:rPr>
                <w:b/>
                <w:bCs/>
              </w:rPr>
              <w:t>Not Yet Competent</w:t>
            </w:r>
          </w:p>
        </w:tc>
        <w:tc>
          <w:tcPr>
            <w:tcW w:w="4007" w:type="dxa"/>
            <w:tcBorders>
              <w:top w:val="single" w:sz="8" w:space="0" w:color="CC9900"/>
              <w:left w:val="single" w:sz="8" w:space="0" w:color="CC9900"/>
              <w:bottom w:val="single" w:sz="18" w:space="0" w:color="CC9900"/>
              <w:right w:val="single" w:sz="8" w:space="0" w:color="CC9900"/>
            </w:tcBorders>
            <w:shd w:val="clear" w:color="auto" w:fill="auto"/>
            <w:tcMar>
              <w:top w:w="15" w:type="dxa"/>
              <w:left w:w="91" w:type="dxa"/>
              <w:bottom w:w="0" w:type="dxa"/>
              <w:right w:w="91" w:type="dxa"/>
            </w:tcMar>
            <w:vAlign w:val="center"/>
            <w:hideMark/>
          </w:tcPr>
          <w:p w14:paraId="35166315" w14:textId="77777777" w:rsidR="00040F6A" w:rsidRPr="00040F6A" w:rsidRDefault="00040F6A" w:rsidP="00040F6A">
            <w:pPr>
              <w:jc w:val="center"/>
            </w:pPr>
            <w:r w:rsidRPr="00040F6A">
              <w:rPr>
                <w:b/>
                <w:bCs/>
              </w:rPr>
              <w:t>Competent</w:t>
            </w:r>
          </w:p>
        </w:tc>
      </w:tr>
      <w:tr w:rsidR="00040F6A" w:rsidRPr="00040F6A" w14:paraId="2885737A" w14:textId="77777777" w:rsidTr="00040F6A">
        <w:trPr>
          <w:trHeight w:val="1134"/>
        </w:trPr>
        <w:tc>
          <w:tcPr>
            <w:tcW w:w="3280" w:type="dxa"/>
            <w:tcBorders>
              <w:top w:val="single" w:sz="18" w:space="0" w:color="CC9900"/>
              <w:left w:val="single" w:sz="8" w:space="0" w:color="CC9900"/>
              <w:bottom w:val="single" w:sz="8" w:space="0" w:color="CC9900"/>
              <w:right w:val="single" w:sz="8" w:space="0" w:color="CC9900"/>
            </w:tcBorders>
            <w:shd w:val="clear" w:color="auto" w:fill="F6EFE7"/>
            <w:tcMar>
              <w:top w:w="15" w:type="dxa"/>
              <w:left w:w="91" w:type="dxa"/>
              <w:bottom w:w="0" w:type="dxa"/>
              <w:right w:w="91" w:type="dxa"/>
            </w:tcMar>
            <w:vAlign w:val="center"/>
            <w:hideMark/>
          </w:tcPr>
          <w:p w14:paraId="611D2628" w14:textId="77777777" w:rsidR="00040F6A" w:rsidRPr="00040F6A" w:rsidRDefault="00040F6A" w:rsidP="00040F6A">
            <w:pPr>
              <w:spacing w:before="240" w:after="240" w:line="240" w:lineRule="auto"/>
            </w:pPr>
            <w:r w:rsidRPr="00040F6A">
              <w:t xml:space="preserve">selects high-quality artefacts that emphasise and connect to the content of the Standards.  </w:t>
            </w:r>
          </w:p>
        </w:tc>
        <w:tc>
          <w:tcPr>
            <w:tcW w:w="4006" w:type="dxa"/>
            <w:tcBorders>
              <w:top w:val="single" w:sz="18" w:space="0" w:color="CC9900"/>
              <w:left w:val="single" w:sz="8" w:space="0" w:color="CC9900"/>
              <w:bottom w:val="single" w:sz="8" w:space="0" w:color="CC9900"/>
              <w:right w:val="single" w:sz="8" w:space="0" w:color="CC9900"/>
            </w:tcBorders>
            <w:shd w:val="clear" w:color="auto" w:fill="F6EFE7"/>
            <w:tcMar>
              <w:top w:w="15" w:type="dxa"/>
              <w:left w:w="91" w:type="dxa"/>
              <w:bottom w:w="0" w:type="dxa"/>
              <w:right w:w="91" w:type="dxa"/>
            </w:tcMar>
            <w:vAlign w:val="center"/>
            <w:hideMark/>
          </w:tcPr>
          <w:p w14:paraId="364DAC4A" w14:textId="77777777" w:rsidR="00040F6A" w:rsidRPr="00040F6A" w:rsidRDefault="00040F6A" w:rsidP="00040F6A">
            <w:pPr>
              <w:jc w:val="center"/>
            </w:pPr>
          </w:p>
        </w:tc>
        <w:tc>
          <w:tcPr>
            <w:tcW w:w="4006" w:type="dxa"/>
            <w:tcBorders>
              <w:top w:val="single" w:sz="18" w:space="0" w:color="CC9900"/>
              <w:left w:val="single" w:sz="8" w:space="0" w:color="CC9900"/>
              <w:bottom w:val="single" w:sz="8" w:space="0" w:color="CC9900"/>
              <w:right w:val="single" w:sz="8" w:space="0" w:color="CC9900"/>
            </w:tcBorders>
            <w:shd w:val="clear" w:color="auto" w:fill="F6EFE7"/>
            <w:tcMar>
              <w:top w:w="15" w:type="dxa"/>
              <w:left w:w="91" w:type="dxa"/>
              <w:bottom w:w="0" w:type="dxa"/>
              <w:right w:w="91" w:type="dxa"/>
            </w:tcMar>
            <w:vAlign w:val="center"/>
            <w:hideMark/>
          </w:tcPr>
          <w:p w14:paraId="5CD771F7" w14:textId="77777777" w:rsidR="00040F6A" w:rsidRPr="00040F6A" w:rsidRDefault="00040F6A" w:rsidP="00040F6A">
            <w:pPr>
              <w:jc w:val="center"/>
            </w:pPr>
          </w:p>
        </w:tc>
        <w:tc>
          <w:tcPr>
            <w:tcW w:w="4007" w:type="dxa"/>
            <w:tcBorders>
              <w:top w:val="single" w:sz="18" w:space="0" w:color="CC9900"/>
              <w:left w:val="single" w:sz="8" w:space="0" w:color="CC9900"/>
              <w:bottom w:val="single" w:sz="8" w:space="0" w:color="CC9900"/>
              <w:right w:val="single" w:sz="8" w:space="0" w:color="CC9900"/>
            </w:tcBorders>
            <w:shd w:val="clear" w:color="auto" w:fill="F6EFE7"/>
            <w:tcMar>
              <w:top w:w="15" w:type="dxa"/>
              <w:left w:w="91" w:type="dxa"/>
              <w:bottom w:w="0" w:type="dxa"/>
              <w:right w:w="91" w:type="dxa"/>
            </w:tcMar>
            <w:vAlign w:val="center"/>
            <w:hideMark/>
          </w:tcPr>
          <w:p w14:paraId="503BFDD3" w14:textId="6FE011CE" w:rsidR="00040F6A" w:rsidRPr="00040F6A" w:rsidRDefault="006A240A" w:rsidP="00040F6A">
            <w:pPr>
              <w:jc w:val="center"/>
            </w:pPr>
            <w:r>
              <w:t xml:space="preserve">The artefact is carefully selected and demonstrates </w:t>
            </w:r>
            <w:r w:rsidR="00A73CB1">
              <w:t>Cathryn’s</w:t>
            </w:r>
            <w:r>
              <w:t xml:space="preserve"> ability to plan a lesson based on a </w:t>
            </w:r>
            <w:r w:rsidR="00A73CB1">
              <w:t>the learning area,</w:t>
            </w:r>
            <w:r>
              <w:t xml:space="preserve"> </w:t>
            </w:r>
            <w:r>
              <w:t>Humanities and Social science</w:t>
            </w:r>
            <w:r>
              <w:t xml:space="preserve"> on Sustainability. The lesson</w:t>
            </w:r>
            <w:r w:rsidR="008677E5">
              <w:t xml:space="preserve"> plan showcases content that is well organised across a series of lessons. </w:t>
            </w:r>
          </w:p>
        </w:tc>
      </w:tr>
      <w:tr w:rsidR="00040F6A" w:rsidRPr="00040F6A" w14:paraId="75F27832" w14:textId="77777777" w:rsidTr="00040F6A">
        <w:trPr>
          <w:trHeight w:val="1455"/>
        </w:trPr>
        <w:tc>
          <w:tcPr>
            <w:tcW w:w="3280" w:type="dxa"/>
            <w:tcBorders>
              <w:top w:val="single" w:sz="8" w:space="0" w:color="CC9900"/>
              <w:left w:val="single" w:sz="8" w:space="0" w:color="CC9900"/>
              <w:bottom w:val="single" w:sz="8" w:space="0" w:color="CC9900"/>
              <w:right w:val="single" w:sz="8" w:space="0" w:color="CC9900"/>
            </w:tcBorders>
            <w:shd w:val="clear" w:color="auto" w:fill="auto"/>
            <w:tcMar>
              <w:top w:w="15" w:type="dxa"/>
              <w:left w:w="91" w:type="dxa"/>
              <w:bottom w:w="0" w:type="dxa"/>
              <w:right w:w="91" w:type="dxa"/>
            </w:tcMar>
            <w:vAlign w:val="center"/>
            <w:hideMark/>
          </w:tcPr>
          <w:p w14:paraId="22ABD169" w14:textId="77777777" w:rsidR="00040F6A" w:rsidRPr="00040F6A" w:rsidRDefault="00040F6A" w:rsidP="00040F6A">
            <w:pPr>
              <w:spacing w:before="240" w:after="240" w:line="240" w:lineRule="auto"/>
            </w:pPr>
            <w:r w:rsidRPr="00040F6A">
              <w:t>relates artefacts to the Australian Professional Standards with accuracy and impact.</w:t>
            </w:r>
          </w:p>
        </w:tc>
        <w:tc>
          <w:tcPr>
            <w:tcW w:w="4006" w:type="dxa"/>
            <w:tcBorders>
              <w:top w:val="single" w:sz="8" w:space="0" w:color="CC9900"/>
              <w:left w:val="single" w:sz="8" w:space="0" w:color="CC9900"/>
              <w:bottom w:val="single" w:sz="8" w:space="0" w:color="CC9900"/>
              <w:right w:val="single" w:sz="8" w:space="0" w:color="CC9900"/>
            </w:tcBorders>
            <w:shd w:val="clear" w:color="auto" w:fill="auto"/>
            <w:tcMar>
              <w:top w:w="15" w:type="dxa"/>
              <w:left w:w="91" w:type="dxa"/>
              <w:bottom w:w="0" w:type="dxa"/>
              <w:right w:w="91" w:type="dxa"/>
            </w:tcMar>
            <w:vAlign w:val="center"/>
            <w:hideMark/>
          </w:tcPr>
          <w:p w14:paraId="348D6490" w14:textId="77777777" w:rsidR="00040F6A" w:rsidRPr="00040F6A" w:rsidRDefault="00040F6A" w:rsidP="00040F6A">
            <w:pPr>
              <w:jc w:val="center"/>
            </w:pPr>
          </w:p>
        </w:tc>
        <w:tc>
          <w:tcPr>
            <w:tcW w:w="4006" w:type="dxa"/>
            <w:tcBorders>
              <w:top w:val="single" w:sz="8" w:space="0" w:color="CC9900"/>
              <w:left w:val="single" w:sz="8" w:space="0" w:color="CC9900"/>
              <w:bottom w:val="single" w:sz="8" w:space="0" w:color="CC9900"/>
              <w:right w:val="single" w:sz="8" w:space="0" w:color="CC9900"/>
            </w:tcBorders>
            <w:shd w:val="clear" w:color="auto" w:fill="auto"/>
            <w:tcMar>
              <w:top w:w="15" w:type="dxa"/>
              <w:left w:w="91" w:type="dxa"/>
              <w:bottom w:w="0" w:type="dxa"/>
              <w:right w:w="91" w:type="dxa"/>
            </w:tcMar>
            <w:vAlign w:val="center"/>
            <w:hideMark/>
          </w:tcPr>
          <w:p w14:paraId="2F57C3BA" w14:textId="14F6B5AA" w:rsidR="00040F6A" w:rsidRPr="00040F6A" w:rsidRDefault="00040F6A" w:rsidP="00040F6A">
            <w:pPr>
              <w:jc w:val="center"/>
            </w:pPr>
          </w:p>
        </w:tc>
        <w:tc>
          <w:tcPr>
            <w:tcW w:w="4007" w:type="dxa"/>
            <w:tcBorders>
              <w:top w:val="single" w:sz="8" w:space="0" w:color="CC9900"/>
              <w:left w:val="single" w:sz="8" w:space="0" w:color="CC9900"/>
              <w:bottom w:val="single" w:sz="8" w:space="0" w:color="CC9900"/>
              <w:right w:val="single" w:sz="8" w:space="0" w:color="CC9900"/>
            </w:tcBorders>
            <w:shd w:val="clear" w:color="auto" w:fill="auto"/>
            <w:tcMar>
              <w:top w:w="15" w:type="dxa"/>
              <w:left w:w="91" w:type="dxa"/>
              <w:bottom w:w="0" w:type="dxa"/>
              <w:right w:w="91" w:type="dxa"/>
            </w:tcMar>
            <w:vAlign w:val="center"/>
            <w:hideMark/>
          </w:tcPr>
          <w:p w14:paraId="54FC811F" w14:textId="07A293FA" w:rsidR="00040F6A" w:rsidRPr="00040F6A" w:rsidRDefault="008677E5" w:rsidP="00040F6A">
            <w:pPr>
              <w:jc w:val="center"/>
            </w:pPr>
            <w:r>
              <w:t>The artefact was clearly linked to the Australian Professional standards.</w:t>
            </w:r>
          </w:p>
        </w:tc>
      </w:tr>
      <w:tr w:rsidR="00040F6A" w:rsidRPr="00040F6A" w14:paraId="3D690D16" w14:textId="77777777" w:rsidTr="00040F6A">
        <w:trPr>
          <w:trHeight w:val="1455"/>
        </w:trPr>
        <w:tc>
          <w:tcPr>
            <w:tcW w:w="3280" w:type="dxa"/>
            <w:tcBorders>
              <w:top w:val="single" w:sz="8" w:space="0" w:color="CC9900"/>
              <w:left w:val="single" w:sz="8" w:space="0" w:color="CC9900"/>
              <w:bottom w:val="single" w:sz="8" w:space="0" w:color="CC9900"/>
              <w:right w:val="single" w:sz="8" w:space="0" w:color="CC9900"/>
            </w:tcBorders>
            <w:shd w:val="clear" w:color="auto" w:fill="F6EFE7"/>
            <w:tcMar>
              <w:top w:w="15" w:type="dxa"/>
              <w:left w:w="91" w:type="dxa"/>
              <w:bottom w:w="0" w:type="dxa"/>
              <w:right w:w="91" w:type="dxa"/>
            </w:tcMar>
            <w:vAlign w:val="center"/>
            <w:hideMark/>
          </w:tcPr>
          <w:p w14:paraId="71FA129E" w14:textId="77777777" w:rsidR="00040F6A" w:rsidRPr="00040F6A" w:rsidRDefault="00040F6A" w:rsidP="00040F6A">
            <w:pPr>
              <w:spacing w:before="240" w:after="240" w:line="240" w:lineRule="auto"/>
            </w:pPr>
            <w:r w:rsidRPr="00040F6A">
              <w:t>reflects on their own knowledge, practice and engagement with insight and with understanding of teaching.</w:t>
            </w:r>
          </w:p>
        </w:tc>
        <w:tc>
          <w:tcPr>
            <w:tcW w:w="4006" w:type="dxa"/>
            <w:tcBorders>
              <w:top w:val="single" w:sz="8" w:space="0" w:color="CC9900"/>
              <w:left w:val="single" w:sz="8" w:space="0" w:color="CC9900"/>
              <w:bottom w:val="single" w:sz="8" w:space="0" w:color="CC9900"/>
              <w:right w:val="single" w:sz="8" w:space="0" w:color="CC9900"/>
            </w:tcBorders>
            <w:shd w:val="clear" w:color="auto" w:fill="F6EFE7"/>
            <w:tcMar>
              <w:top w:w="15" w:type="dxa"/>
              <w:left w:w="91" w:type="dxa"/>
              <w:bottom w:w="0" w:type="dxa"/>
              <w:right w:w="91" w:type="dxa"/>
            </w:tcMar>
            <w:vAlign w:val="center"/>
            <w:hideMark/>
          </w:tcPr>
          <w:p w14:paraId="21A92C5D" w14:textId="77777777" w:rsidR="00040F6A" w:rsidRPr="00040F6A" w:rsidRDefault="00040F6A" w:rsidP="00040F6A">
            <w:pPr>
              <w:jc w:val="center"/>
            </w:pPr>
          </w:p>
        </w:tc>
        <w:tc>
          <w:tcPr>
            <w:tcW w:w="4006" w:type="dxa"/>
            <w:tcBorders>
              <w:top w:val="single" w:sz="8" w:space="0" w:color="CC9900"/>
              <w:left w:val="single" w:sz="8" w:space="0" w:color="CC9900"/>
              <w:bottom w:val="single" w:sz="8" w:space="0" w:color="CC9900"/>
              <w:right w:val="single" w:sz="8" w:space="0" w:color="CC9900"/>
            </w:tcBorders>
            <w:shd w:val="clear" w:color="auto" w:fill="F6EFE7"/>
            <w:tcMar>
              <w:top w:w="15" w:type="dxa"/>
              <w:left w:w="91" w:type="dxa"/>
              <w:bottom w:w="0" w:type="dxa"/>
              <w:right w:w="91" w:type="dxa"/>
            </w:tcMar>
            <w:vAlign w:val="center"/>
            <w:hideMark/>
          </w:tcPr>
          <w:p w14:paraId="7217B417" w14:textId="77777777" w:rsidR="00040F6A" w:rsidRPr="00040F6A" w:rsidRDefault="00040F6A" w:rsidP="00040F6A">
            <w:pPr>
              <w:jc w:val="center"/>
            </w:pPr>
          </w:p>
        </w:tc>
        <w:tc>
          <w:tcPr>
            <w:tcW w:w="4007" w:type="dxa"/>
            <w:tcBorders>
              <w:top w:val="single" w:sz="8" w:space="0" w:color="CC9900"/>
              <w:left w:val="single" w:sz="8" w:space="0" w:color="CC9900"/>
              <w:bottom w:val="single" w:sz="8" w:space="0" w:color="CC9900"/>
              <w:right w:val="single" w:sz="8" w:space="0" w:color="CC9900"/>
            </w:tcBorders>
            <w:shd w:val="clear" w:color="auto" w:fill="F6EFE7"/>
            <w:tcMar>
              <w:top w:w="15" w:type="dxa"/>
              <w:left w:w="91" w:type="dxa"/>
              <w:bottom w:w="0" w:type="dxa"/>
              <w:right w:w="91" w:type="dxa"/>
            </w:tcMar>
            <w:vAlign w:val="center"/>
            <w:hideMark/>
          </w:tcPr>
          <w:p w14:paraId="1264BB10" w14:textId="62CF4B02" w:rsidR="00040F6A" w:rsidRPr="00040F6A" w:rsidRDefault="008677E5" w:rsidP="00040F6A">
            <w:pPr>
              <w:jc w:val="center"/>
            </w:pPr>
            <w:r>
              <w:t>Cathryn applied the Rolfe model of reflection to review her selected artefact</w:t>
            </w:r>
            <w:r w:rsidR="00A73CB1">
              <w:t>.</w:t>
            </w:r>
            <w:r>
              <w:t xml:space="preserve"> </w:t>
            </w:r>
          </w:p>
        </w:tc>
      </w:tr>
      <w:tr w:rsidR="00040F6A" w:rsidRPr="00040F6A" w14:paraId="62FE2BD2" w14:textId="77777777" w:rsidTr="00040F6A">
        <w:trPr>
          <w:trHeight w:val="1455"/>
        </w:trPr>
        <w:tc>
          <w:tcPr>
            <w:tcW w:w="3280" w:type="dxa"/>
            <w:tcBorders>
              <w:top w:val="single" w:sz="8" w:space="0" w:color="CC9900"/>
              <w:left w:val="single" w:sz="8" w:space="0" w:color="CC9900"/>
              <w:bottom w:val="single" w:sz="8" w:space="0" w:color="CC9900"/>
              <w:right w:val="single" w:sz="8" w:space="0" w:color="CC9900"/>
            </w:tcBorders>
            <w:shd w:val="clear" w:color="auto" w:fill="auto"/>
            <w:tcMar>
              <w:top w:w="15" w:type="dxa"/>
              <w:left w:w="91" w:type="dxa"/>
              <w:bottom w:w="0" w:type="dxa"/>
              <w:right w:w="91" w:type="dxa"/>
            </w:tcMar>
            <w:vAlign w:val="center"/>
            <w:hideMark/>
          </w:tcPr>
          <w:p w14:paraId="0227C848" w14:textId="77777777" w:rsidR="00040F6A" w:rsidRPr="00040F6A" w:rsidRDefault="00040F6A" w:rsidP="00040F6A">
            <w:pPr>
              <w:spacing w:before="240" w:after="240" w:line="240" w:lineRule="auto"/>
            </w:pPr>
            <w:r w:rsidRPr="00040F6A">
              <w:t xml:space="preserve">has organised and presented their DPP professionally, logically and effectively.  </w:t>
            </w:r>
          </w:p>
        </w:tc>
        <w:tc>
          <w:tcPr>
            <w:tcW w:w="4006" w:type="dxa"/>
            <w:tcBorders>
              <w:top w:val="single" w:sz="8" w:space="0" w:color="CC9900"/>
              <w:left w:val="single" w:sz="8" w:space="0" w:color="CC9900"/>
              <w:bottom w:val="single" w:sz="8" w:space="0" w:color="CC9900"/>
              <w:right w:val="single" w:sz="8" w:space="0" w:color="CC9900"/>
            </w:tcBorders>
            <w:shd w:val="clear" w:color="auto" w:fill="auto"/>
            <w:tcMar>
              <w:top w:w="15" w:type="dxa"/>
              <w:left w:w="91" w:type="dxa"/>
              <w:bottom w:w="0" w:type="dxa"/>
              <w:right w:w="91" w:type="dxa"/>
            </w:tcMar>
            <w:vAlign w:val="center"/>
            <w:hideMark/>
          </w:tcPr>
          <w:p w14:paraId="4B3B29FA" w14:textId="77777777" w:rsidR="00040F6A" w:rsidRPr="00040F6A" w:rsidRDefault="00040F6A" w:rsidP="00040F6A">
            <w:pPr>
              <w:jc w:val="center"/>
            </w:pPr>
          </w:p>
        </w:tc>
        <w:tc>
          <w:tcPr>
            <w:tcW w:w="4006" w:type="dxa"/>
            <w:tcBorders>
              <w:top w:val="single" w:sz="8" w:space="0" w:color="CC9900"/>
              <w:left w:val="single" w:sz="8" w:space="0" w:color="CC9900"/>
              <w:bottom w:val="single" w:sz="8" w:space="0" w:color="CC9900"/>
              <w:right w:val="single" w:sz="8" w:space="0" w:color="CC9900"/>
            </w:tcBorders>
            <w:shd w:val="clear" w:color="auto" w:fill="auto"/>
            <w:tcMar>
              <w:top w:w="15" w:type="dxa"/>
              <w:left w:w="91" w:type="dxa"/>
              <w:bottom w:w="0" w:type="dxa"/>
              <w:right w:w="91" w:type="dxa"/>
            </w:tcMar>
            <w:vAlign w:val="center"/>
            <w:hideMark/>
          </w:tcPr>
          <w:p w14:paraId="37C64207" w14:textId="77777777" w:rsidR="00040F6A" w:rsidRPr="00040F6A" w:rsidRDefault="00040F6A" w:rsidP="00040F6A">
            <w:pPr>
              <w:jc w:val="center"/>
            </w:pPr>
          </w:p>
        </w:tc>
        <w:tc>
          <w:tcPr>
            <w:tcW w:w="4007" w:type="dxa"/>
            <w:tcBorders>
              <w:top w:val="single" w:sz="8" w:space="0" w:color="CC9900"/>
              <w:left w:val="single" w:sz="8" w:space="0" w:color="CC9900"/>
              <w:bottom w:val="single" w:sz="8" w:space="0" w:color="CC9900"/>
              <w:right w:val="single" w:sz="8" w:space="0" w:color="CC9900"/>
            </w:tcBorders>
            <w:shd w:val="clear" w:color="auto" w:fill="auto"/>
            <w:tcMar>
              <w:top w:w="15" w:type="dxa"/>
              <w:left w:w="91" w:type="dxa"/>
              <w:bottom w:w="0" w:type="dxa"/>
              <w:right w:w="91" w:type="dxa"/>
            </w:tcMar>
            <w:vAlign w:val="center"/>
            <w:hideMark/>
          </w:tcPr>
          <w:p w14:paraId="4BDFC7BB" w14:textId="53298C0B" w:rsidR="00040F6A" w:rsidRPr="00040F6A" w:rsidRDefault="00A73CB1" w:rsidP="00040F6A">
            <w:pPr>
              <w:jc w:val="center"/>
            </w:pPr>
            <w:r>
              <w:t>Cathryn presented</w:t>
            </w:r>
            <w:r w:rsidR="008677E5">
              <w:t xml:space="preserve"> her DPP professionally, </w:t>
            </w:r>
            <w:r>
              <w:t>logically,</w:t>
            </w:r>
            <w:r w:rsidR="008677E5">
              <w:t xml:space="preserve"> and effectively. What appealed to me was how Cathryn was able to </w:t>
            </w:r>
            <w:r>
              <w:t>add personality to her DPP which gives further connection to the reader.</w:t>
            </w:r>
          </w:p>
        </w:tc>
      </w:tr>
      <w:tr w:rsidR="00040F6A" w:rsidRPr="00040F6A" w14:paraId="783E9EFF" w14:textId="77777777" w:rsidTr="00040F6A">
        <w:trPr>
          <w:trHeight w:val="1455"/>
        </w:trPr>
        <w:tc>
          <w:tcPr>
            <w:tcW w:w="3280" w:type="dxa"/>
            <w:tcBorders>
              <w:top w:val="single" w:sz="8" w:space="0" w:color="CC9900"/>
              <w:left w:val="single" w:sz="8" w:space="0" w:color="CC9900"/>
              <w:bottom w:val="single" w:sz="8" w:space="0" w:color="CC9900"/>
              <w:right w:val="single" w:sz="8" w:space="0" w:color="CC9900"/>
            </w:tcBorders>
            <w:shd w:val="clear" w:color="auto" w:fill="F6EFE7"/>
            <w:tcMar>
              <w:top w:w="15" w:type="dxa"/>
              <w:left w:w="91" w:type="dxa"/>
              <w:bottom w:w="0" w:type="dxa"/>
              <w:right w:w="91" w:type="dxa"/>
            </w:tcMar>
            <w:vAlign w:val="center"/>
            <w:hideMark/>
          </w:tcPr>
          <w:p w14:paraId="4BE3FDCA" w14:textId="77777777" w:rsidR="00040F6A" w:rsidRPr="00040F6A" w:rsidRDefault="00040F6A" w:rsidP="00040F6A">
            <w:pPr>
              <w:spacing w:before="240" w:after="240" w:line="240" w:lineRule="auto"/>
            </w:pPr>
            <w:r w:rsidRPr="00040F6A">
              <w:t xml:space="preserve">communicates important information about their current development and future plans. </w:t>
            </w:r>
          </w:p>
        </w:tc>
        <w:tc>
          <w:tcPr>
            <w:tcW w:w="4006" w:type="dxa"/>
            <w:tcBorders>
              <w:top w:val="single" w:sz="8" w:space="0" w:color="CC9900"/>
              <w:left w:val="single" w:sz="8" w:space="0" w:color="CC9900"/>
              <w:bottom w:val="single" w:sz="8" w:space="0" w:color="CC9900"/>
              <w:right w:val="single" w:sz="8" w:space="0" w:color="CC9900"/>
            </w:tcBorders>
            <w:shd w:val="clear" w:color="auto" w:fill="F6EFE7"/>
            <w:tcMar>
              <w:top w:w="15" w:type="dxa"/>
              <w:left w:w="91" w:type="dxa"/>
              <w:bottom w:w="0" w:type="dxa"/>
              <w:right w:w="91" w:type="dxa"/>
            </w:tcMar>
            <w:vAlign w:val="center"/>
            <w:hideMark/>
          </w:tcPr>
          <w:p w14:paraId="048C1ACF" w14:textId="77777777" w:rsidR="00040F6A" w:rsidRPr="00040F6A" w:rsidRDefault="00040F6A" w:rsidP="00040F6A">
            <w:pPr>
              <w:jc w:val="center"/>
            </w:pPr>
          </w:p>
        </w:tc>
        <w:tc>
          <w:tcPr>
            <w:tcW w:w="4006" w:type="dxa"/>
            <w:tcBorders>
              <w:top w:val="single" w:sz="8" w:space="0" w:color="CC9900"/>
              <w:left w:val="single" w:sz="8" w:space="0" w:color="CC9900"/>
              <w:bottom w:val="single" w:sz="8" w:space="0" w:color="CC9900"/>
              <w:right w:val="single" w:sz="8" w:space="0" w:color="CC9900"/>
            </w:tcBorders>
            <w:shd w:val="clear" w:color="auto" w:fill="F6EFE7"/>
            <w:tcMar>
              <w:top w:w="15" w:type="dxa"/>
              <w:left w:w="91" w:type="dxa"/>
              <w:bottom w:w="0" w:type="dxa"/>
              <w:right w:w="91" w:type="dxa"/>
            </w:tcMar>
            <w:vAlign w:val="center"/>
            <w:hideMark/>
          </w:tcPr>
          <w:p w14:paraId="0DED244F" w14:textId="77777777" w:rsidR="00040F6A" w:rsidRPr="00040F6A" w:rsidRDefault="00040F6A" w:rsidP="00040F6A">
            <w:pPr>
              <w:jc w:val="center"/>
            </w:pPr>
          </w:p>
        </w:tc>
        <w:tc>
          <w:tcPr>
            <w:tcW w:w="4007" w:type="dxa"/>
            <w:tcBorders>
              <w:top w:val="single" w:sz="8" w:space="0" w:color="CC9900"/>
              <w:left w:val="single" w:sz="8" w:space="0" w:color="CC9900"/>
              <w:bottom w:val="single" w:sz="8" w:space="0" w:color="CC9900"/>
              <w:right w:val="single" w:sz="8" w:space="0" w:color="CC9900"/>
            </w:tcBorders>
            <w:shd w:val="clear" w:color="auto" w:fill="F6EFE7"/>
            <w:tcMar>
              <w:top w:w="15" w:type="dxa"/>
              <w:left w:w="91" w:type="dxa"/>
              <w:bottom w:w="0" w:type="dxa"/>
              <w:right w:w="91" w:type="dxa"/>
            </w:tcMar>
            <w:vAlign w:val="center"/>
            <w:hideMark/>
          </w:tcPr>
          <w:p w14:paraId="5D96AB83" w14:textId="457D87A8" w:rsidR="00040F6A" w:rsidRPr="00040F6A" w:rsidRDefault="00A73CB1" w:rsidP="00040F6A">
            <w:pPr>
              <w:jc w:val="center"/>
            </w:pPr>
            <w:r>
              <w:t>Cathryn actively sourced feedback from Tutor’s to further develop her lesson plan and in turn updated her artefact to ensure the best possible evidence was connected to the relevant standard.</w:t>
            </w:r>
          </w:p>
        </w:tc>
      </w:tr>
    </w:tbl>
    <w:p w14:paraId="156697BF" w14:textId="77777777" w:rsidR="00CF2267" w:rsidRDefault="00CF2267"/>
    <w:sectPr w:rsidR="00CF2267" w:rsidSect="00040F6A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0F6A"/>
    <w:rsid w:val="00040F6A"/>
    <w:rsid w:val="000A20CB"/>
    <w:rsid w:val="000E1172"/>
    <w:rsid w:val="006A240A"/>
    <w:rsid w:val="008677E5"/>
    <w:rsid w:val="00A73CB1"/>
    <w:rsid w:val="00CF22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DCDAB5"/>
  <w15:chartTrackingRefBased/>
  <w15:docId w15:val="{1966A9B2-60E5-4BCD-BD0C-E5D01D1207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2293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D1ABFB25EE934439F574BC264F0B8E6" ma:contentTypeVersion="13" ma:contentTypeDescription="Create a new document." ma:contentTypeScope="" ma:versionID="5425bef6769ec0ea76842aa83959854b">
  <xsd:schema xmlns:xsd="http://www.w3.org/2001/XMLSchema" xmlns:xs="http://www.w3.org/2001/XMLSchema" xmlns:p="http://schemas.microsoft.com/office/2006/metadata/properties" xmlns:ns3="5053a65b-a790-45aa-b23d-3e4902a85933" xmlns:ns4="6b707ee7-774c-4141-8c69-3f50efb0eaa0" targetNamespace="http://schemas.microsoft.com/office/2006/metadata/properties" ma:root="true" ma:fieldsID="c01b032c71c14dd849dfa37e2101d752" ns3:_="" ns4:_="">
    <xsd:import namespace="5053a65b-a790-45aa-b23d-3e4902a85933"/>
    <xsd:import namespace="6b707ee7-774c-4141-8c69-3f50efb0eaa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53a65b-a790-45aa-b23d-3e4902a859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707ee7-774c-4141-8c69-3f50efb0eaa0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460974D-4F22-4931-A98E-7FF59901257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3C4988E-4E52-4F1F-BEBB-33542E9C6B9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1D40F3F-6316-4A83-BAA1-1AA73B3F6CB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53a65b-a790-45aa-b23d-3e4902a85933"/>
    <ds:schemaRef ds:uri="6b707ee7-774c-4141-8c69-3f50efb0eaa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204</Words>
  <Characters>1167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Curtin University</Company>
  <LinksUpToDate>false</LinksUpToDate>
  <CharactersWithSpaces>1369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Chad Morrison</dc:creator>
  <cp:keywords/>
  <dc:description/>
  <cp:lastModifiedBy>Claire Mulder</cp:lastModifiedBy>
  <cp:revision>3</cp:revision>
  <dcterms:created xsi:type="dcterms:W3CDTF">2021-03-06T01:22:00Z</dcterms:created>
  <dcterms:modified xsi:type="dcterms:W3CDTF">2021-03-12T02:13:00Z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0x010100CD1ABFB25EE934439F574BC264F0B8E6</vt:lpwstr>
  </property>
</Properties>
</file>